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 w:line="240" w:lineRule="auto"/>
        <w:ind/>
        <w:jc w:val="center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>ИНФОРМАЦИЯ О ДОСТУПНОСТИ ОБЪЕКТА</w:t>
      </w:r>
    </w:p>
    <w:p w14:paraId="02000000">
      <w:pPr>
        <w:spacing w:after="0" w:line="240" w:lineRule="auto"/>
        <w:ind/>
        <w:rPr>
          <w:rFonts w:ascii="Times New Roman" w:hAnsi="Times New Roman"/>
          <w:sz w:val="24"/>
        </w:rPr>
      </w:pPr>
    </w:p>
    <w:tbl>
      <w:tblPr>
        <w:tblStyle w:val="Style_1"/>
        <w:tblW w:type="auto" w:w="0"/>
        <w:tblInd w:type="dxa" w:w="-176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3060"/>
        <w:gridCol w:w="282"/>
        <w:gridCol w:w="6812"/>
      </w:tblGrid>
      <w:tr>
        <w:tc>
          <w:tcPr>
            <w:tcW w:type="dxa" w:w="3060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03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Информация о доступности</w:t>
            </w:r>
          </w:p>
        </w:tc>
        <w:tc>
          <w:tcPr>
            <w:tcW w:type="dxa" w:w="282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04000000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6812"/>
            <w:tcBorders>
              <w:top w:color="000000" w:sz="4" w:val="nil"/>
              <w:left w:color="000000" w:sz="4" w:val="nil"/>
              <w:bottom w:color="000000" w:sz="4" w:val="single"/>
              <w:right w:color="000000" w:sz="4" w:val="nil"/>
            </w:tcBorders>
          </w:tcPr>
          <w:p w14:paraId="05000000">
            <w:pPr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Муниципальное бюджетное учреждение спортивный комплекс «Сокол»</w:t>
            </w:r>
            <w:r>
              <w:rPr>
                <w:rFonts w:ascii="Times New Roman" w:hAnsi="Times New Roman"/>
                <w:b w:val="1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– Модульное спортивное сооружение</w:t>
            </w:r>
            <w:r>
              <w:rPr>
                <w:rFonts w:ascii="Times New Roman" w:hAnsi="Times New Roman"/>
                <w:b w:val="1"/>
                <w:sz w:val="24"/>
              </w:rPr>
              <w:t xml:space="preserve"> </w:t>
            </w:r>
          </w:p>
          <w:p w14:paraId="06000000">
            <w:pPr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(</w:t>
            </w:r>
            <w:r>
              <w:rPr>
                <w:rFonts w:ascii="Times New Roman" w:hAnsi="Times New Roman"/>
                <w:b w:val="1"/>
                <w:sz w:val="24"/>
              </w:rPr>
              <w:t>ул. Космонавтов</w:t>
            </w:r>
            <w:r>
              <w:rPr>
                <w:rFonts w:ascii="Times New Roman" w:hAnsi="Times New Roman"/>
                <w:b w:val="1"/>
                <w:sz w:val="24"/>
              </w:rPr>
              <w:t>, д. 11б</w:t>
            </w:r>
            <w:r>
              <w:rPr>
                <w:rFonts w:ascii="Times New Roman" w:hAnsi="Times New Roman"/>
                <w:b w:val="1"/>
                <w:sz w:val="24"/>
              </w:rPr>
              <w:t>)</w:t>
            </w:r>
          </w:p>
        </w:tc>
      </w:tr>
    </w:tbl>
    <w:p w14:paraId="07000000">
      <w:pPr>
        <w:spacing w:after="0" w:line="240" w:lineRule="auto"/>
        <w:ind w:firstLine="709" w:left="3539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 объекта)</w:t>
      </w:r>
    </w:p>
    <w:p w14:paraId="08000000">
      <w:pPr>
        <w:spacing w:after="0" w:line="240" w:lineRule="auto"/>
        <w:ind w:firstLine="709" w:left="3539"/>
        <w:rPr>
          <w:rFonts w:ascii="Times New Roman" w:hAnsi="Times New Roman"/>
          <w:sz w:val="24"/>
        </w:rPr>
      </w:pPr>
    </w:p>
    <w:tbl>
      <w:tblPr>
        <w:tblStyle w:val="Style_1"/>
        <w:tblW w:type="auto" w:w="0"/>
        <w:jc w:val="center"/>
        <w:tblLayout w:type="fixed"/>
      </w:tblPr>
      <w:tblGrid>
        <w:gridCol w:w="612"/>
        <w:gridCol w:w="2914"/>
        <w:gridCol w:w="2635"/>
        <w:gridCol w:w="3723"/>
      </w:tblGrid>
      <w:tr>
        <w:tc>
          <w:tcPr>
            <w:tcW w:type="dxa" w:w="612"/>
            <w:vAlign w:val="center"/>
          </w:tcPr>
          <w:p w14:paraId="09000000">
            <w:pPr>
              <w:ind w:firstLine="0" w:left="0"/>
              <w:jc w:val="center"/>
              <w:rPr>
                <w:rFonts w:ascii="Times New Roman" w:hAnsi="Times New Roman"/>
                <w:b w:val="1"/>
              </w:rPr>
            </w:pPr>
            <w:r>
              <w:rPr>
                <w:rFonts w:ascii="Times New Roman" w:hAnsi="Times New Roman"/>
                <w:b w:val="1"/>
              </w:rPr>
              <w:t>№</w:t>
            </w:r>
          </w:p>
          <w:p w14:paraId="0A000000">
            <w:pPr>
              <w:ind w:firstLine="0" w:left="0"/>
              <w:jc w:val="center"/>
              <w:rPr>
                <w:rFonts w:ascii="Times New Roman" w:hAnsi="Times New Roman"/>
                <w:b w:val="1"/>
              </w:rPr>
            </w:pPr>
            <w:r>
              <w:rPr>
                <w:rFonts w:ascii="Times New Roman" w:hAnsi="Times New Roman"/>
                <w:b w:val="1"/>
              </w:rPr>
              <w:t>п</w:t>
            </w:r>
            <w:r>
              <w:rPr>
                <w:rFonts w:ascii="Times New Roman" w:hAnsi="Times New Roman"/>
                <w:b w:val="1"/>
              </w:rPr>
              <w:t>/п</w:t>
            </w:r>
          </w:p>
        </w:tc>
        <w:tc>
          <w:tcPr>
            <w:tcW w:type="dxa" w:w="2914"/>
            <w:vAlign w:val="center"/>
          </w:tcPr>
          <w:p w14:paraId="0B000000">
            <w:pPr>
              <w:ind w:firstLine="0" w:left="0"/>
              <w:jc w:val="center"/>
              <w:rPr>
                <w:rFonts w:ascii="Times New Roman" w:hAnsi="Times New Roman"/>
                <w:b w:val="1"/>
              </w:rPr>
            </w:pPr>
            <w:r>
              <w:rPr>
                <w:rFonts w:ascii="Times New Roman" w:hAnsi="Times New Roman"/>
                <w:b w:val="1"/>
              </w:rPr>
              <w:t>Мероприятия по обеспечению доступности объектов и услуг для инвалидов</w:t>
            </w:r>
          </w:p>
        </w:tc>
        <w:tc>
          <w:tcPr>
            <w:tcW w:type="dxa" w:w="2635"/>
            <w:vAlign w:val="center"/>
          </w:tcPr>
          <w:p w14:paraId="0C000000">
            <w:pPr>
              <w:ind w:firstLine="0" w:left="0"/>
              <w:jc w:val="center"/>
              <w:rPr>
                <w:rFonts w:ascii="Times New Roman" w:hAnsi="Times New Roman"/>
                <w:b w:val="1"/>
                <w:sz w:val="20"/>
              </w:rPr>
            </w:pPr>
            <w:r>
              <w:rPr>
                <w:rFonts w:ascii="Times New Roman" w:hAnsi="Times New Roman"/>
                <w:b w:val="1"/>
                <w:sz w:val="20"/>
              </w:rPr>
              <w:t>Перечисление выполненных мероприятий для инвалидов различных категорий (инвалиды, передвигающиеся на кресло-колясках, инвалиды с поражением опорно-двигательного аппарата, инвалидов с ментальными нарушениями)</w:t>
            </w:r>
          </w:p>
        </w:tc>
        <w:tc>
          <w:tcPr>
            <w:tcW w:type="dxa" w:w="3723"/>
            <w:vAlign w:val="center"/>
          </w:tcPr>
          <w:p w14:paraId="0D000000">
            <w:pPr>
              <w:ind w:firstLine="0" w:left="0"/>
              <w:jc w:val="center"/>
              <w:rPr>
                <w:rFonts w:ascii="Times New Roman" w:hAnsi="Times New Roman"/>
                <w:b w:val="1"/>
              </w:rPr>
            </w:pPr>
            <w:r>
              <w:rPr>
                <w:rFonts w:ascii="Times New Roman" w:hAnsi="Times New Roman"/>
                <w:b w:val="1"/>
              </w:rPr>
              <w:t>Фото</w:t>
            </w:r>
          </w:p>
        </w:tc>
      </w:tr>
      <w:tr>
        <w:tc>
          <w:tcPr>
            <w:tcW w:type="dxa" w:w="612"/>
          </w:tcPr>
          <w:p w14:paraId="0E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0F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Обеспечено выделение на автостоянке не менее 10% мест для парковки автомобилей инвалидам</w:t>
            </w:r>
          </w:p>
          <w:p w14:paraId="10000000">
            <w:pPr>
              <w:ind w:firstLine="709" w:left="0"/>
              <w:rPr>
                <w:rFonts w:ascii="Times New Roman" w:hAnsi="Times New Roman"/>
                <w:sz w:val="24"/>
              </w:rPr>
            </w:pPr>
          </w:p>
          <w:p w14:paraId="11000000">
            <w:pPr>
              <w:rPr>
                <w:rFonts w:ascii="Times New Roman" w:hAnsi="Times New Roman"/>
                <w:sz w:val="24"/>
              </w:rPr>
            </w:pPr>
          </w:p>
          <w:p w14:paraId="12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type="dxa" w:w="2635"/>
          </w:tcPr>
          <w:p w14:paraId="13000000">
            <w:pPr>
              <w:rPr>
                <w:rFonts w:ascii="Times New Roman" w:hAnsi="Times New Roman"/>
                <w:sz w:val="24"/>
                <w:u w:val="single"/>
              </w:rPr>
            </w:pPr>
            <w:r>
              <w:rPr>
                <w:rFonts w:ascii="Times New Roman" w:hAnsi="Times New Roman"/>
                <w:sz w:val="24"/>
              </w:rPr>
              <w:t xml:space="preserve">Организована автопарковка на 15 мест, в том числе </w:t>
            </w:r>
            <w:r>
              <w:rPr>
                <w:rFonts w:ascii="Times New Roman" w:hAnsi="Times New Roman"/>
                <w:sz w:val="24"/>
                <w:u w:val="single"/>
              </w:rPr>
              <w:t xml:space="preserve">2 </w:t>
            </w:r>
            <w:r>
              <w:rPr>
                <w:rFonts w:ascii="Times New Roman" w:hAnsi="Times New Roman"/>
                <w:sz w:val="24"/>
                <w:u w:val="single"/>
              </w:rPr>
              <w:t>автоместа</w:t>
            </w:r>
            <w:r>
              <w:rPr>
                <w:rFonts w:ascii="Times New Roman" w:hAnsi="Times New Roman"/>
                <w:sz w:val="24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для </w:t>
            </w:r>
            <w:r>
              <w:rPr>
                <w:rFonts w:ascii="Times New Roman" w:hAnsi="Times New Roman"/>
                <w:sz w:val="24"/>
              </w:rPr>
              <w:t>инвалидов</w:t>
            </w:r>
          </w:p>
          <w:p w14:paraId="14000000">
            <w:pPr>
              <w:rPr>
                <w:rFonts w:ascii="Times New Roman" w:hAnsi="Times New Roman"/>
                <w:sz w:val="24"/>
                <w:u w:val="single"/>
              </w:rPr>
            </w:pPr>
          </w:p>
          <w:p w14:paraId="15000000">
            <w:pPr>
              <w:rPr>
                <w:rFonts w:ascii="Times New Roman" w:hAnsi="Times New Roman"/>
                <w:sz w:val="24"/>
                <w:u w:val="single"/>
              </w:rPr>
            </w:pPr>
            <w:r>
              <w:rPr>
                <w:rFonts w:ascii="Times New Roman" w:hAnsi="Times New Roman"/>
                <w:sz w:val="24"/>
              </w:rPr>
              <w:t xml:space="preserve">+7 (4742) </w:t>
            </w:r>
            <w:r>
              <w:rPr>
                <w:rFonts w:ascii="Times New Roman" w:hAnsi="Times New Roman"/>
                <w:sz w:val="24"/>
              </w:rPr>
              <w:t>26</w:t>
            </w:r>
            <w:r>
              <w:rPr>
                <w:rFonts w:ascii="Times New Roman" w:hAnsi="Times New Roman"/>
                <w:sz w:val="24"/>
              </w:rPr>
              <w:t>-17</w:t>
            </w:r>
            <w:r>
              <w:rPr>
                <w:rFonts w:ascii="Times New Roman" w:hAnsi="Times New Roman"/>
                <w:sz w:val="24"/>
              </w:rPr>
              <w:t>-06</w:t>
            </w:r>
          </w:p>
        </w:tc>
        <w:tc>
          <w:tcPr>
            <w:tcW w:type="dxa" w:w="3723"/>
          </w:tcPr>
          <w:p w14:paraId="16000000">
            <w:pPr>
              <w:rPr>
                <w:rFonts w:ascii="Times New Roman" w:hAnsi="Times New Roman"/>
                <w:sz w:val="24"/>
              </w:rPr>
            </w:pPr>
          </w:p>
          <w:p w14:paraId="17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2" name="Picture 2"/>
                  <a:graphic>
                    <a:graphicData uri="http://schemas.openxmlformats.org/drawingml/2006/picture">
                      <pic:pic>
                        <pic:nvPicPr>
                          <pic:cNvPr hidden="false" id="1" name="Picture 1"/>
                          <pic:cNvPicPr preferRelativeResize="true"/>
                        </pic:nvPicPr>
                        <pic:blipFill>
                          <a:blip r:embed="rId1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612"/>
          </w:tcPr>
          <w:p w14:paraId="18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19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Обеспечена возможность самостоятельного передвижения по территории объекта (при наличии территории у объекта)</w:t>
            </w:r>
          </w:p>
        </w:tc>
        <w:tc>
          <w:tcPr>
            <w:tcW w:type="dxa" w:w="2635"/>
          </w:tcPr>
          <w:p w14:paraId="1A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Территория объекта </w:t>
            </w:r>
            <w:r>
              <w:rPr>
                <w:rFonts w:ascii="Times New Roman" w:hAnsi="Times New Roman"/>
                <w:sz w:val="24"/>
              </w:rPr>
              <w:t xml:space="preserve">частично </w:t>
            </w:r>
            <w:r>
              <w:rPr>
                <w:rFonts w:ascii="Times New Roman" w:hAnsi="Times New Roman"/>
                <w:sz w:val="24"/>
              </w:rPr>
              <w:t>доступна для всех категорий инвалидов (ДУ)</w:t>
            </w:r>
            <w:r>
              <w:rPr>
                <w:rFonts w:ascii="Times New Roman" w:hAnsi="Times New Roman"/>
                <w:sz w:val="24"/>
              </w:rPr>
              <w:t>:</w:t>
            </w:r>
          </w:p>
          <w:p w14:paraId="1B000000">
            <w:pPr>
              <w:widowControl w:val="0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тротуар оборудован пониженным бордюром и пандусом</w:t>
            </w:r>
            <w:r>
              <w:rPr>
                <w:rFonts w:ascii="Times New Roman" w:hAnsi="Times New Roman"/>
                <w:sz w:val="24"/>
              </w:rPr>
              <w:t>;</w:t>
            </w:r>
          </w:p>
          <w:p w14:paraId="1C000000">
            <w:pPr>
              <w:widowControl w:val="0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вся территория около здания заасфальтирована;</w:t>
            </w:r>
          </w:p>
          <w:p w14:paraId="1D000000">
            <w:pPr>
              <w:widowControl w:val="0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-широкие тратуары.</w:t>
            </w:r>
          </w:p>
        </w:tc>
        <w:tc>
          <w:tcPr>
            <w:tcW w:type="dxa" w:w="3723"/>
          </w:tcPr>
          <w:p w14:paraId="1E000000">
            <w:pPr>
              <w:rPr>
                <w:rFonts w:ascii="Times New Roman" w:hAnsi="Times New Roman"/>
                <w:sz w:val="24"/>
              </w:rPr>
            </w:pPr>
          </w:p>
          <w:p w14:paraId="1F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22654"/>
                  <wp:docPr hidden="false" id="4" name="Picture 4"/>
                  <a:graphic>
                    <a:graphicData uri="http://schemas.openxmlformats.org/drawingml/2006/picture">
                      <pic:pic>
                        <pic:nvPicPr>
                          <pic:cNvPr hidden="false" id="3" name="Picture 3"/>
                          <pic:cNvPicPr preferRelativeResize="true"/>
                        </pic:nvPicPr>
                        <pic:blipFill>
                          <a:blip r:embed="rId2"/>
                          <a:stretch/>
                        </pic:blipFill>
                        <pic:spPr>
                          <a:xfrm flipH="false" flipV="false" rot="0">
                            <a:ext cx="2226945" cy="162265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612"/>
          </w:tcPr>
          <w:p w14:paraId="20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21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Обеспечено устройство входных групп с учетом потребностей инвалидов различных категорий</w:t>
            </w:r>
          </w:p>
        </w:tc>
        <w:tc>
          <w:tcPr>
            <w:tcW w:type="dxa" w:w="2635"/>
          </w:tcPr>
          <w:p w14:paraId="22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Вход в здание оборудован стационарным пандусом с поручнями, соответствующим требованиям безбарьерной среды, которым могут пользоваться инвалиды-колясочники.</w:t>
            </w:r>
          </w:p>
          <w:p w14:paraId="23000000">
            <w:pPr>
              <w:rPr>
                <w:rFonts w:ascii="Times New Roman" w:hAnsi="Times New Roman"/>
                <w:sz w:val="24"/>
              </w:rPr>
            </w:pPr>
          </w:p>
          <w:p w14:paraId="24000000">
            <w:pPr>
              <w:widowControl w:val="0"/>
              <w:ind/>
              <w:rPr>
                <w:rFonts w:ascii="XO Thames" w:hAnsi="XO Thames"/>
                <w:sz w:val="24"/>
              </w:rPr>
            </w:pPr>
            <w:r>
              <w:rPr>
                <w:rFonts w:ascii="XO Thames" w:hAnsi="XO Thames"/>
                <w:sz w:val="24"/>
              </w:rPr>
              <w:t>Дверные проемы при входе, запасной выход из спортивного зала, а также двери в спортивный зал, раздевалки, санузлы обладают д</w:t>
            </w:r>
            <w:r>
              <w:rPr>
                <w:rFonts w:ascii="XO Thames" w:hAnsi="XO Thames"/>
                <w:sz w:val="24"/>
              </w:rPr>
              <w:t>остаточной шириной.</w:t>
            </w:r>
          </w:p>
          <w:p w14:paraId="25000000">
            <w:pPr>
              <w:widowControl w:val="0"/>
              <w:ind/>
              <w:rPr>
                <w:rFonts w:ascii="XO Thames" w:hAnsi="XO Thames"/>
                <w:sz w:val="24"/>
              </w:rPr>
            </w:pPr>
          </w:p>
        </w:tc>
        <w:tc>
          <w:tcPr>
            <w:tcW w:type="dxa" w:w="3723"/>
          </w:tcPr>
          <w:p w14:paraId="26000000">
            <w:pPr>
              <w:rPr>
                <w:rFonts w:ascii="Times New Roman" w:hAnsi="Times New Roman"/>
                <w:sz w:val="24"/>
              </w:rPr>
            </w:pPr>
          </w:p>
          <w:p w14:paraId="27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6" name="Picture 6"/>
                  <a:graphic>
                    <a:graphicData uri="http://schemas.openxmlformats.org/drawingml/2006/picture">
                      <pic:pic>
                        <pic:nvPicPr>
                          <pic:cNvPr hidden="false" id="5" name="Picture 5"/>
                          <pic:cNvPicPr preferRelativeResize="true"/>
                        </pic:nvPicPr>
                        <pic:blipFill>
                          <a:blip r:embed="rId3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28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8" name="Picture 8"/>
                  <a:graphic>
                    <a:graphicData uri="http://schemas.openxmlformats.org/drawingml/2006/picture">
                      <pic:pic>
                        <pic:nvPicPr>
                          <pic:cNvPr hidden="false" id="7" name="Picture 7"/>
                          <pic:cNvPicPr preferRelativeResize="true"/>
                        </pic:nvPicPr>
                        <pic:blipFill>
                          <a:blip r:embed="rId4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8752"/>
        </w:trPr>
        <w:tc>
          <w:tcPr>
            <w:tcW w:type="dxa" w:w="612"/>
          </w:tcPr>
          <w:p w14:paraId="29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2A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Обеспечена доступность для инвалидов мест предоставления услуг</w:t>
            </w:r>
          </w:p>
          <w:p w14:paraId="2B000000">
            <w:pPr>
              <w:rPr>
                <w:rFonts w:ascii="Times New Roman" w:hAnsi="Times New Roman"/>
                <w:sz w:val="24"/>
              </w:rPr>
            </w:pPr>
          </w:p>
          <w:p w14:paraId="2C000000">
            <w:pPr>
              <w:rPr>
                <w:rFonts w:ascii="Times New Roman" w:hAnsi="Times New Roman"/>
                <w:sz w:val="24"/>
              </w:rPr>
            </w:pPr>
          </w:p>
          <w:p w14:paraId="2D000000">
            <w:pPr>
              <w:rPr>
                <w:rFonts w:ascii="Times New Roman" w:hAnsi="Times New Roman"/>
                <w:sz w:val="24"/>
                <w:shd w:fill="FFD821" w:val="clear"/>
              </w:rPr>
            </w:pPr>
          </w:p>
          <w:p w14:paraId="2E000000">
            <w:pPr>
              <w:rPr>
                <w:rFonts w:ascii="Times New Roman" w:hAnsi="Times New Roman"/>
                <w:sz w:val="24"/>
                <w:shd w:fill="FFD821" w:val="clear"/>
              </w:rPr>
            </w:pPr>
          </w:p>
          <w:p w14:paraId="2F000000">
            <w:pPr>
              <w:rPr>
                <w:shd w:fill="FFD821" w:val="clear"/>
              </w:rPr>
            </w:pPr>
          </w:p>
          <w:p w14:paraId="30000000">
            <w:pPr>
              <w:rPr>
                <w:shd w:fill="FFD821" w:val="clear"/>
              </w:rPr>
            </w:pPr>
          </w:p>
        </w:tc>
        <w:tc>
          <w:tcPr>
            <w:tcW w:type="dxa" w:w="2635"/>
          </w:tcPr>
          <w:p w14:paraId="310000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Обеспечено:</w:t>
            </w:r>
          </w:p>
          <w:p w14:paraId="320000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-пути движения внутри здания (в т.ч. пути эвакуации);</w:t>
            </w:r>
          </w:p>
          <w:p w14:paraId="33000000">
            <w:pPr>
              <w:rPr>
                <w:rFonts w:ascii="Times New Roman" w:hAnsi="Times New Roman"/>
              </w:rPr>
            </w:pPr>
          </w:p>
          <w:p w14:paraId="34000000">
            <w:pPr>
              <w:rPr>
                <w:rFonts w:ascii="Times New Roman" w:hAnsi="Times New Roman"/>
              </w:rPr>
            </w:pPr>
          </w:p>
          <w:p w14:paraId="35000000">
            <w:pPr>
              <w:rPr>
                <w:rFonts w:ascii="Times New Roman" w:hAnsi="Times New Roman"/>
              </w:rPr>
            </w:pPr>
          </w:p>
          <w:p w14:paraId="36000000">
            <w:pPr>
              <w:rPr>
                <w:rFonts w:ascii="Times New Roman" w:hAnsi="Times New Roman"/>
              </w:rPr>
            </w:pPr>
          </w:p>
          <w:p w14:paraId="37000000">
            <w:pPr>
              <w:rPr>
                <w:rFonts w:ascii="Times New Roman" w:hAnsi="Times New Roman"/>
              </w:rPr>
            </w:pPr>
          </w:p>
          <w:p w14:paraId="38000000">
            <w:pPr>
              <w:rPr>
                <w:rFonts w:ascii="Times New Roman" w:hAnsi="Times New Roman"/>
              </w:rPr>
            </w:pPr>
          </w:p>
          <w:p w14:paraId="39000000">
            <w:pPr>
              <w:rPr>
                <w:rFonts w:ascii="Times New Roman" w:hAnsi="Times New Roman"/>
              </w:rPr>
            </w:pPr>
          </w:p>
          <w:p w14:paraId="3A000000">
            <w:pPr>
              <w:rPr>
                <w:rFonts w:ascii="Times New Roman" w:hAnsi="Times New Roman"/>
              </w:rPr>
            </w:pPr>
          </w:p>
          <w:p w14:paraId="3B0000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>
              <w:rPr>
                <w:rFonts w:ascii="Times New Roman" w:hAnsi="Times New Roman"/>
              </w:rPr>
              <w:t>достаточная ширина дверных проемов, запасного выхода, площадок;</w:t>
            </w:r>
          </w:p>
          <w:p w14:paraId="3C000000">
            <w:pPr>
              <w:rPr>
                <w:rFonts w:ascii="Times New Roman" w:hAnsi="Times New Roman"/>
              </w:rPr>
            </w:pPr>
          </w:p>
          <w:p w14:paraId="3D000000">
            <w:pPr>
              <w:rPr>
                <w:rFonts w:ascii="Times New Roman" w:hAnsi="Times New Roman"/>
              </w:rPr>
            </w:pPr>
          </w:p>
          <w:p w14:paraId="3E000000">
            <w:pPr>
              <w:rPr>
                <w:rFonts w:ascii="Times New Roman" w:hAnsi="Times New Roman"/>
              </w:rPr>
            </w:pPr>
          </w:p>
          <w:p w14:paraId="3F000000">
            <w:pPr>
              <w:rPr>
                <w:rFonts w:ascii="Times New Roman" w:hAnsi="Times New Roman"/>
              </w:rPr>
            </w:pPr>
          </w:p>
          <w:p w14:paraId="40000000">
            <w:pPr>
              <w:rPr>
                <w:rFonts w:ascii="Times New Roman" w:hAnsi="Times New Roman"/>
              </w:rPr>
            </w:pPr>
          </w:p>
          <w:p w14:paraId="41000000">
            <w:pPr>
              <w:rPr>
                <w:rFonts w:ascii="Times New Roman" w:hAnsi="Times New Roman"/>
              </w:rPr>
            </w:pPr>
          </w:p>
          <w:p w14:paraId="42000000">
            <w:pPr>
              <w:rPr>
                <w:rFonts w:ascii="Times New Roman" w:hAnsi="Times New Roman"/>
              </w:rPr>
            </w:pPr>
          </w:p>
          <w:p w14:paraId="430000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>
              <w:rPr>
                <w:rFonts w:ascii="Times New Roman" w:hAnsi="Times New Roman"/>
              </w:rPr>
              <w:t>доступные входные группы.</w:t>
            </w:r>
          </w:p>
        </w:tc>
        <w:tc>
          <w:tcPr>
            <w:tcW w:type="dxa" w:w="3723"/>
          </w:tcPr>
          <w:p w14:paraId="44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10" name="Picture 10"/>
                  <a:graphic>
                    <a:graphicData uri="http://schemas.openxmlformats.org/drawingml/2006/picture">
                      <pic:pic>
                        <pic:nvPicPr>
                          <pic:cNvPr hidden="false" id="9" name="Picture 9"/>
                          <pic:cNvPicPr preferRelativeResize="true"/>
                        </pic:nvPicPr>
                        <pic:blipFill>
                          <a:blip r:embed="rId5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45000000">
            <w:pPr>
              <w:rPr>
                <w:rFonts w:ascii="Times New Roman" w:hAnsi="Times New Roman"/>
                <w:sz w:val="24"/>
              </w:rPr>
            </w:pPr>
          </w:p>
          <w:p w14:paraId="46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12" name="Picture 12"/>
                  <a:graphic>
                    <a:graphicData uri="http://schemas.openxmlformats.org/drawingml/2006/picture">
                      <pic:pic>
                        <pic:nvPicPr>
                          <pic:cNvPr hidden="false" id="11" name="Picture 11"/>
                          <pic:cNvPicPr preferRelativeResize="true"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47000000">
            <w:pPr>
              <w:rPr>
                <w:rFonts w:ascii="Times New Roman" w:hAnsi="Times New Roman"/>
                <w:sz w:val="24"/>
              </w:rPr>
            </w:pPr>
          </w:p>
          <w:p w14:paraId="48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14" name="Picture 14"/>
                  <a:graphic>
                    <a:graphicData uri="http://schemas.openxmlformats.org/drawingml/2006/picture">
                      <pic:pic>
                        <pic:nvPicPr>
                          <pic:cNvPr hidden="false" id="13" name="Picture 13"/>
                          <pic:cNvPicPr preferRelativeResize="true"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49000000">
            <w:pPr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612"/>
          </w:tcPr>
          <w:p w14:paraId="4A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4B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Обеспечено устройство санитарных узлов с учетом потребностей инвалидов (К, О, С, Г, У)</w:t>
            </w:r>
          </w:p>
          <w:p w14:paraId="4C000000">
            <w:pPr>
              <w:rPr>
                <w:rFonts w:ascii="Times New Roman" w:hAnsi="Times New Roman"/>
                <w:sz w:val="24"/>
              </w:rPr>
            </w:pPr>
          </w:p>
          <w:p w14:paraId="4D000000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635"/>
          </w:tcPr>
          <w:p w14:paraId="4E000000">
            <w:pPr>
              <w:widowControl w:val="0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Специализированные </w:t>
            </w: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</w:rPr>
              <w:t xml:space="preserve">анитарно-гигиенические </w:t>
            </w:r>
          </w:p>
          <w:p w14:paraId="4F0000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помещения </w:t>
            </w:r>
          </w:p>
          <w:p w14:paraId="50000000">
            <w:pPr>
              <w:widowControl w:val="0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лиц с</w:t>
            </w:r>
            <w:r>
              <w:rPr>
                <w:rFonts w:ascii="Times New Roman" w:hAnsi="Times New Roman"/>
                <w:sz w:val="24"/>
              </w:rPr>
              <w:t xml:space="preserve"> ограниченными возможностями здоровья предусмотрены в женской и мужской раздевалках, в общем холле (всего в учреждении 3 санитарно -гигиенических помещения для ОВЗ)</w:t>
            </w:r>
          </w:p>
        </w:tc>
        <w:tc>
          <w:tcPr>
            <w:tcW w:type="dxa" w:w="3723"/>
          </w:tcPr>
          <w:p w14:paraId="51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6945" cy="1670208"/>
                  <wp:docPr hidden="false" id="16" name="Picture 16"/>
                  <a:graphic>
                    <a:graphicData uri="http://schemas.openxmlformats.org/drawingml/2006/picture">
                      <pic:pic>
                        <pic:nvPicPr>
                          <pic:cNvPr hidden="false" id="15" name="Picture 15"/>
                          <pic:cNvPicPr preferRelativeResize="true"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flipH="false" flipV="false" rot="0">
                            <a:ext cx="2226945" cy="16702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52000000">
            <w:pPr>
              <w:rPr>
                <w:rFonts w:ascii="Times New Roman" w:hAnsi="Times New Roman"/>
                <w:sz w:val="24"/>
              </w:rPr>
            </w:pPr>
          </w:p>
          <w:p w14:paraId="53000000">
            <w:pPr>
              <w:rPr>
                <w:rFonts w:ascii="Times New Roman" w:hAnsi="Times New Roman"/>
                <w:sz w:val="24"/>
              </w:rPr>
            </w:pPr>
          </w:p>
          <w:p w14:paraId="54000000">
            <w:pPr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612"/>
          </w:tcPr>
          <w:p w14:paraId="55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56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Проведено инструктирование /обучение сотрудников об условиях предоставления услуг инвалидам</w:t>
            </w:r>
          </w:p>
        </w:tc>
        <w:tc>
          <w:tcPr>
            <w:tcW w:type="dxa" w:w="2635"/>
          </w:tcPr>
          <w:p w14:paraId="57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Утвержден порядок взаимодействия сотрудников МБУ СК «Сокол»</w:t>
            </w:r>
            <w:r>
              <w:rPr>
                <w:rFonts w:ascii="Times New Roman" w:hAnsi="Times New Roman"/>
                <w:sz w:val="24"/>
              </w:rPr>
              <w:t xml:space="preserve"> (Модульное спортивное сооружение</w:t>
            </w:r>
            <w:r>
              <w:rPr>
                <w:rFonts w:ascii="Times New Roman" w:hAnsi="Times New Roman"/>
                <w:sz w:val="24"/>
              </w:rPr>
              <w:t>)</w:t>
            </w:r>
            <w:r>
              <w:rPr>
                <w:rFonts w:ascii="Times New Roman" w:hAnsi="Times New Roman"/>
                <w:sz w:val="24"/>
              </w:rPr>
              <w:t xml:space="preserve"> при предоставлении услуг инвалидам (работники учреждения с порядком ознакомлены)</w:t>
            </w:r>
          </w:p>
        </w:tc>
        <w:tc>
          <w:tcPr>
            <w:tcW w:type="dxa" w:w="3723"/>
          </w:tcPr>
          <w:p w14:paraId="58000000">
            <w:pPr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612"/>
          </w:tcPr>
          <w:p w14:paraId="59000000">
            <w:pPr>
              <w:pStyle w:val="Style_2"/>
              <w:numPr>
                <w:ilvl w:val="0"/>
                <w:numId w:val="1"/>
              </w:numPr>
              <w:ind w:firstLine="0" w:left="0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2914"/>
          </w:tcPr>
          <w:p w14:paraId="5A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Дополнительная информация о доступности на объекте</w:t>
            </w:r>
          </w:p>
        </w:tc>
        <w:tc>
          <w:tcPr>
            <w:tcW w:type="dxa" w:w="2635"/>
          </w:tcPr>
          <w:p/>
        </w:tc>
        <w:tc>
          <w:tcPr>
            <w:tcW w:type="dxa" w:w="3723"/>
          </w:tcPr>
          <w:p w14:paraId="5B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Модульное спортивное сооружение снабжено всем необходимым оборудованием для проведения спортивных мероприятий с участием лиц с ограниченными возможностями здоровья.</w:t>
            </w:r>
          </w:p>
          <w:p w14:paraId="5C000000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</w:t>
            </w:r>
          </w:p>
        </w:tc>
      </w:tr>
    </w:tbl>
    <w:p w14:paraId="5D000000">
      <w:pPr>
        <w:spacing w:after="0" w:line="240" w:lineRule="auto"/>
        <w:ind w:firstLine="709" w:left="0"/>
        <w:rPr>
          <w:rFonts w:ascii="Times New Roman" w:hAnsi="Times New Roman"/>
          <w:sz w:val="24"/>
        </w:rPr>
      </w:pPr>
    </w:p>
    <w:p w14:paraId="5E000000">
      <w:pPr>
        <w:rPr>
          <w:rFonts w:ascii="Times New Roman" w:hAnsi="Times New Roman"/>
          <w:sz w:val="24"/>
        </w:rPr>
      </w:pPr>
    </w:p>
    <w:sectPr>
      <w:pgSz w:h="16838" w:orient="portrait" w:w="11906"/>
      <w:pgMar w:bottom="1134" w:footer="708" w:gutter="0" w:header="708" w:left="992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360" w:left="720"/>
      </w:pPr>
    </w:lvl>
    <w:lvl w:ilvl="1">
      <w:start w:val="1"/>
      <w:numFmt w:val="lowerLetter"/>
      <w:lvlText w:val="%2."/>
      <w:lvlJc w:val="left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180" w:left="2160"/>
      </w:pPr>
    </w:lvl>
    <w:lvl w:ilvl="3">
      <w:start w:val="1"/>
      <w:numFmt w:val="decimal"/>
      <w:lvlText w:val="%4."/>
      <w:lvlJc w:val="left"/>
      <w:pPr>
        <w:ind w:hanging="360" w:left="2880"/>
      </w:pPr>
    </w:lvl>
    <w:lvl w:ilvl="4">
      <w:start w:val="1"/>
      <w:numFmt w:val="lowerLetter"/>
      <w:lvlText w:val="%5."/>
      <w:lvlJc w:val="left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180" w:left="4320"/>
      </w:pPr>
    </w:lvl>
    <w:lvl w:ilvl="6">
      <w:start w:val="1"/>
      <w:numFmt w:val="decimal"/>
      <w:lvlText w:val="%7."/>
      <w:lvlJc w:val="left"/>
      <w:pPr>
        <w:ind w:hanging="360" w:left="5040"/>
      </w:pPr>
    </w:lvl>
    <w:lvl w:ilvl="7">
      <w:start w:val="1"/>
      <w:numFmt w:val="lowerLetter"/>
      <w:lvlText w:val="%8."/>
      <w:lvlJc w:val="left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18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</w:style>
  <w:style w:default="1" w:styleId="Style_3_ch" w:type="character">
    <w:name w:val="Normal"/>
    <w:link w:val="Style_3"/>
  </w:style>
  <w:style w:styleId="Style_4" w:type="paragraph">
    <w:name w:val="toc 2"/>
    <w:next w:val="Style_3"/>
    <w:link w:val="Style_4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4_ch" w:type="character">
    <w:name w:val="toc 2"/>
    <w:link w:val="Style_4"/>
    <w:rPr>
      <w:rFonts w:ascii="XO Thames" w:hAnsi="XO Thames"/>
      <w:sz w:val="28"/>
    </w:rPr>
  </w:style>
  <w:style w:styleId="Style_5" w:type="paragraph">
    <w:name w:val="Default Paragraph Font"/>
    <w:link w:val="Style_5_ch"/>
  </w:style>
  <w:style w:styleId="Style_5_ch" w:type="character">
    <w:name w:val="Default Paragraph Font"/>
    <w:link w:val="Style_5"/>
  </w:style>
  <w:style w:styleId="Style_6" w:type="paragraph">
    <w:name w:val="toc 4"/>
    <w:next w:val="Style_3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3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3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Endnote"/>
    <w:link w:val="Style_9_ch"/>
    <w:pPr>
      <w:ind w:firstLine="851" w:left="0"/>
      <w:jc w:val="both"/>
    </w:pPr>
    <w:rPr>
      <w:rFonts w:ascii="XO Thames" w:hAnsi="XO Thames"/>
      <w:sz w:val="22"/>
    </w:rPr>
  </w:style>
  <w:style w:styleId="Style_9_ch" w:type="character">
    <w:name w:val="Endnote"/>
    <w:link w:val="Style_9"/>
    <w:rPr>
      <w:rFonts w:ascii="XO Thames" w:hAnsi="XO Thames"/>
      <w:sz w:val="22"/>
    </w:rPr>
  </w:style>
  <w:style w:styleId="Style_10" w:type="paragraph">
    <w:name w:val="heading 3"/>
    <w:next w:val="Style_3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Normal (Web)"/>
    <w:basedOn w:val="Style_3"/>
    <w:link w:val="Style_11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11_ch" w:type="character">
    <w:name w:val="Normal (Web)"/>
    <w:basedOn w:val="Style_3_ch"/>
    <w:link w:val="Style_11"/>
    <w:rPr>
      <w:rFonts w:ascii="Times New Roman" w:hAnsi="Times New Roman"/>
      <w:sz w:val="24"/>
    </w:rPr>
  </w:style>
  <w:style w:styleId="Style_12" w:type="paragraph">
    <w:name w:val="toc 3"/>
    <w:next w:val="Style_3"/>
    <w:link w:val="Style_12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13" w:type="paragraph">
    <w:name w:val="heading 5"/>
    <w:next w:val="Style_3"/>
    <w:link w:val="Style_13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3_ch" w:type="character">
    <w:name w:val="heading 5"/>
    <w:link w:val="Style_13"/>
    <w:rPr>
      <w:rFonts w:ascii="XO Thames" w:hAnsi="XO Thames"/>
      <w:b w:val="1"/>
      <w:sz w:val="22"/>
    </w:rPr>
  </w:style>
  <w:style w:styleId="Style_14" w:type="paragraph">
    <w:name w:val="heading 1"/>
    <w:next w:val="Style_3"/>
    <w:link w:val="Style_14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4_ch" w:type="character">
    <w:name w:val="heading 1"/>
    <w:link w:val="Style_14"/>
    <w:rPr>
      <w:rFonts w:ascii="XO Thames" w:hAnsi="XO Thames"/>
      <w:b w:val="1"/>
      <w:sz w:val="32"/>
    </w:rPr>
  </w:style>
  <w:style w:styleId="Style_15" w:type="paragraph">
    <w:name w:val="Hyperlink"/>
    <w:basedOn w:val="Style_5"/>
    <w:link w:val="Style_15_ch"/>
    <w:rPr>
      <w:color w:val="0000FF"/>
      <w:u w:val="single"/>
    </w:rPr>
  </w:style>
  <w:style w:styleId="Style_15_ch" w:type="character">
    <w:name w:val="Hyperlink"/>
    <w:basedOn w:val="Style_5_ch"/>
    <w:link w:val="Style_15"/>
    <w:rPr>
      <w:color w:val="0000FF"/>
      <w:u w:val="single"/>
    </w:rPr>
  </w:style>
  <w:style w:styleId="Style_16" w:type="paragraph">
    <w:name w:val="Footnote"/>
    <w:link w:val="Style_16_ch"/>
    <w:pPr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Footnote"/>
    <w:link w:val="Style_16"/>
    <w:rPr>
      <w:rFonts w:ascii="XO Thames" w:hAnsi="XO Thames"/>
      <w:sz w:val="22"/>
    </w:rPr>
  </w:style>
  <w:style w:styleId="Style_2" w:type="paragraph">
    <w:name w:val="List Paragraph"/>
    <w:basedOn w:val="Style_3"/>
    <w:link w:val="Style_2_ch"/>
    <w:pPr>
      <w:ind w:firstLine="0" w:left="720"/>
      <w:contextualSpacing w:val="1"/>
    </w:pPr>
  </w:style>
  <w:style w:styleId="Style_2_ch" w:type="character">
    <w:name w:val="List Paragraph"/>
    <w:basedOn w:val="Style_3_ch"/>
    <w:link w:val="Style_2"/>
  </w:style>
  <w:style w:styleId="Style_17" w:type="paragraph">
    <w:name w:val="toc 1"/>
    <w:next w:val="Style_3"/>
    <w:link w:val="Style_17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7_ch" w:type="character">
    <w:name w:val="toc 1"/>
    <w:link w:val="Style_17"/>
    <w:rPr>
      <w:rFonts w:ascii="XO Thames" w:hAnsi="XO Thames"/>
      <w:b w:val="1"/>
      <w:sz w:val="28"/>
    </w:rPr>
  </w:style>
  <w:style w:styleId="Style_18" w:type="paragraph">
    <w:name w:val="Header and Footer"/>
    <w:link w:val="Style_18_ch"/>
    <w:pPr>
      <w:spacing w:line="240" w:lineRule="auto"/>
      <w:ind/>
      <w:jc w:val="both"/>
    </w:pPr>
    <w:rPr>
      <w:rFonts w:ascii="XO Thames" w:hAnsi="XO Thames"/>
      <w:sz w:val="28"/>
    </w:rPr>
  </w:style>
  <w:style w:styleId="Style_18_ch" w:type="character">
    <w:name w:val="Header and Footer"/>
    <w:link w:val="Style_18"/>
    <w:rPr>
      <w:rFonts w:ascii="XO Thames" w:hAnsi="XO Thames"/>
      <w:sz w:val="28"/>
    </w:rPr>
  </w:style>
  <w:style w:styleId="Style_19" w:type="paragraph">
    <w:name w:val="toc 9"/>
    <w:next w:val="Style_3"/>
    <w:link w:val="Style_19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9_ch" w:type="character">
    <w:name w:val="toc 9"/>
    <w:link w:val="Style_19"/>
    <w:rPr>
      <w:rFonts w:ascii="XO Thames" w:hAnsi="XO Thames"/>
      <w:sz w:val="28"/>
    </w:rPr>
  </w:style>
  <w:style w:styleId="Style_20" w:type="paragraph">
    <w:name w:val="Balloon Text"/>
    <w:basedOn w:val="Style_3"/>
    <w:link w:val="Style_20_ch"/>
    <w:pPr>
      <w:spacing w:after="0" w:line="240" w:lineRule="auto"/>
      <w:ind/>
    </w:pPr>
    <w:rPr>
      <w:rFonts w:ascii="Tahoma" w:hAnsi="Tahoma"/>
      <w:sz w:val="16"/>
    </w:rPr>
  </w:style>
  <w:style w:styleId="Style_20_ch" w:type="character">
    <w:name w:val="Balloon Text"/>
    <w:basedOn w:val="Style_3_ch"/>
    <w:link w:val="Style_20"/>
    <w:rPr>
      <w:rFonts w:ascii="Tahoma" w:hAnsi="Tahoma"/>
      <w:sz w:val="16"/>
    </w:rPr>
  </w:style>
  <w:style w:styleId="Style_21" w:type="paragraph">
    <w:name w:val="toc 8"/>
    <w:next w:val="Style_3"/>
    <w:link w:val="Style_21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22" w:type="paragraph">
    <w:name w:val="toc 5"/>
    <w:next w:val="Style_3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Subtitle"/>
    <w:next w:val="Style_3"/>
    <w:link w:val="Style_23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3_ch" w:type="character">
    <w:name w:val="Subtitle"/>
    <w:link w:val="Style_23"/>
    <w:rPr>
      <w:rFonts w:ascii="XO Thames" w:hAnsi="XO Thames"/>
      <w:i w:val="1"/>
      <w:sz w:val="24"/>
    </w:rPr>
  </w:style>
  <w:style w:styleId="Style_24" w:type="paragraph">
    <w:name w:val="Title"/>
    <w:next w:val="Style_3"/>
    <w:link w:val="Style_24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4_ch" w:type="character">
    <w:name w:val="Title"/>
    <w:link w:val="Style_24"/>
    <w:rPr>
      <w:rFonts w:ascii="XO Thames" w:hAnsi="XO Thames"/>
      <w:b w:val="1"/>
      <w:caps w:val="1"/>
      <w:sz w:val="40"/>
    </w:rPr>
  </w:style>
  <w:style w:styleId="Style_25" w:type="paragraph">
    <w:name w:val="heading 4"/>
    <w:next w:val="Style_3"/>
    <w:link w:val="Style_25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5_ch" w:type="character">
    <w:name w:val="heading 4"/>
    <w:link w:val="Style_25"/>
    <w:rPr>
      <w:rFonts w:ascii="XO Thames" w:hAnsi="XO Thames"/>
      <w:b w:val="1"/>
      <w:sz w:val="24"/>
    </w:rPr>
  </w:style>
  <w:style w:styleId="Style_26" w:type="paragraph">
    <w:name w:val="heading 2"/>
    <w:next w:val="Style_3"/>
    <w:link w:val="Style_26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6_ch" w:type="character">
    <w:name w:val="heading 2"/>
    <w:link w:val="Style_26"/>
    <w:rPr>
      <w:rFonts w:ascii="XO Thames" w:hAnsi="XO Thames"/>
      <w:b w:val="1"/>
      <w:sz w:val="28"/>
    </w:rPr>
  </w:style>
  <w:style w:default="1" w:styleId="Style_2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1" w:type="table">
    <w:name w:val="Table Grid"/>
    <w:basedOn w:val="Style_27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4" Target="theme/theme1.xml" Type="http://schemas.openxmlformats.org/officeDocument/2006/relationships/theme"/>
  <Relationship Id="rId13" Target="webSettings.xml" Type="http://schemas.openxmlformats.org/officeDocument/2006/relationships/webSetting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12" Target="stylesWithEffects.xml" Type="http://schemas.microsoft.com/office/2007/relationships/stylesWithEffects"/>
  <Relationship Id="rId10" Target="settings.xml" Type="http://schemas.openxmlformats.org/officeDocument/2006/relationships/settings"/>
  <Relationship Id="rId5" Target="media/5.png" Type="http://schemas.openxmlformats.org/officeDocument/2006/relationships/image"/>
  <Relationship Id="rId11" Target="styles.xml" Type="http://schemas.openxmlformats.org/officeDocument/2006/relationships/styles"/>
  <Relationship Id="rId8" Target="media/8.png" Type="http://schemas.openxmlformats.org/officeDocument/2006/relationships/image"/>
  <Relationship Id="rId2" Target="media/2.png" Type="http://schemas.openxmlformats.org/officeDocument/2006/relationships/image"/>
  <Relationship Id="rId9" Target="fontTable.xml" Type="http://schemas.openxmlformats.org/officeDocument/2006/relationships/fontTable"/>
  <Relationship Id="rId15" Target="numbering.xml" Type="http://schemas.openxmlformats.org/officeDocument/2006/relationships/numbering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2026-06-29T12:39:42Z</dcterms:modified>
</cp:coreProperties>
</file>